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Phương pháp</w:t>
      </w:r>
      <w:r w:rsidRPr="00FA254E">
        <w:rPr>
          <w:b/>
          <w:bCs/>
          <w:noProof/>
          <w:sz w:val="24"/>
          <w:szCs w:val="24"/>
        </w:rPr>
        <w:t xml:space="preserve"> giảng dạy 2</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English Language</w:t>
      </w:r>
      <w:r w:rsidRPr="00FA254E">
        <w:rPr>
          <w:b/>
          <w:bCs/>
          <w:noProof/>
          <w:sz w:val="24"/>
          <w:szCs w:val="24"/>
        </w:rPr>
        <w:t xml:space="preserve"> Teaching 2</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ENT382</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sinh viên ngành Ngôn ngữ Anh - chuyên ngành giảng dạy tiếng Anh - 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các kỹ năng nghe, nói, đọc, viết và phát triển các bài giảng, quản lý học tập liên quan đến các nội dung này. Bên cạnh đó, học phần tạo cơ hội cho sinh viên củng cố, phát triển năng lực tiếng Anh và rèn luyện các kỹ năng giao tiếp, kỹ năng làm việc nhóm, tư duy phản biện, cùng với các kỹ năng khác để đáp ứng học tập, làm việc trong môi trường hiện đại.  Kết thúc học phần sinh viên có thể nắm vững  các phương pháp và các vấn đề liên quan đến giảng dạy các kỹ năng ngôn ngữ Anh.</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về phương diện kiến thức và ngôn ngữ để thực hiện các nhiệm vụ trong giảng dạy tiếng Anh. Đồng thời, sinh viên có kỹ năng lập kế hoạch học tập và phương pháp học tập cho định hướng nghề nghiệp tương lai.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a)</w:t>
        <w:tab/>
      </w:r>
      <w:r w:rsidRPr="00FA254E">
        <w:rPr>
          <w:noProof/>
          <w:sz w:val="24"/>
          <w:szCs w:val="24"/>
        </w:rPr>
        <w:t>Nhận biết và giải thích được các thuật ngữ liên quan đến lý thuyết về ngôn ngữ, ngôn ngữ tâm lý, giáo học pháp thuộc lĩnh vực dạy, học tiếng Anh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b)</w:t>
        <w:tab/>
      </w:r>
      <w:r w:rsidRPr="00FA254E">
        <w:rPr>
          <w:noProof/>
          <w:sz w:val="24"/>
          <w:szCs w:val="24"/>
        </w:rPr>
        <w:t>Ứng dụng kiến thức lý thuyết thụ đắc ngôn ngữ, lý thuyết phát triển kỹ năng ngôn ngữ, lý thuyết về các phương pháp dạy ngữ vào việc phát triển các bài giảng ngữ pháp, từ vựng và phát âm hiệu quả;</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c)</w:t>
        <w:tab/>
      </w:r>
      <w:r w:rsidRPr="00FA254E">
        <w:rPr>
          <w:noProof/>
          <w:sz w:val="24"/>
          <w:szCs w:val="24"/>
        </w:rPr>
        <w:t>Phân tích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kỹ năng ngôn ngữ;</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d)</w:t>
        <w:tab/>
      </w:r>
      <w:r w:rsidRPr="00FA254E">
        <w:rPr>
          <w:noProof/>
          <w:sz w:val="24"/>
          <w:szCs w:val="24"/>
        </w:rPr>
        <w:t>Biên soạn các giáo án/bài giảng thể hiện được sự đáp ứng đối với mục tiêu đào tạo, giáo trình và tài liệu học tập;</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e)</w:t>
        <w:tab/>
      </w:r>
      <w:r w:rsidRPr="00FA254E">
        <w:rPr>
          <w:noProof/>
          <w:sz w:val="24"/>
          <w:szCs w:val="24"/>
        </w:rPr>
        <w:t>Nắm được phương pháp quản lý lớp học, quản lý quá trình học tập, theo dõi tiến bộ của người học tổ chức hoạt động nhóm, cặp hiệu quả;</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học phần và phương pháp học tập</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language</w:t>
            </w:r>
            <w:r w:rsidRPr="00FA254E">
              <w:rPr>
                <w:noProof/>
                <w:sz w:val="24"/>
                <w:szCs w:val="24"/>
              </w:rPr>
              <w:t xml:space="preserve"> skills (Harmer, Chapter 16)</w:t>
            </w:r>
          </w:p>
          <w:p w:rsidRPr="00FA254E" w:rsidP="004D1122">
            <w:pPr>
              <w:spacing w:before="40" w:after="40"/>
              <w:rPr>
                <w:sz w:val="24"/>
                <w:szCs w:val="24"/>
              </w:rPr>
            </w:pPr>
            <w:r w:rsidRPr="00FA254E">
              <w:rPr>
                <w:noProof/>
                <w:sz w:val="24"/>
                <w:szCs w:val="24"/>
              </w:rPr>
              <w:t>Receptive skills</w:t>
            </w:r>
          </w:p>
          <w:p w:rsidRPr="00FA254E" w:rsidP="004D1122">
            <w:pPr>
              <w:spacing w:before="40" w:after="40"/>
              <w:rPr>
                <w:sz w:val="24"/>
                <w:szCs w:val="24"/>
              </w:rPr>
            </w:pPr>
            <w:r w:rsidRPr="00FA254E">
              <w:rPr>
                <w:noProof/>
                <w:sz w:val="24"/>
                <w:szCs w:val="24"/>
              </w:rPr>
              <w:t>Productive skills</w:t>
            </w:r>
          </w:p>
          <w:p w:rsidR="002655A9" w:rsidRPr="00FA254E" w:rsidP="004D1122">
            <w:pPr>
              <w:spacing w:before="40" w:after="40"/>
              <w:rPr>
                <w:color w:val="000000"/>
                <w:sz w:val="24"/>
                <w:szCs w:val="24"/>
              </w:rPr>
            </w:pPr>
            <w:r w:rsidRPr="00FA254E">
              <w:rPr>
                <w:noProof/>
                <w:sz w:val="24"/>
                <w:szCs w:val="24"/>
              </w:rPr>
              <w:t>Projects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reading</w:t>
            </w:r>
            <w:r w:rsidRPr="00FA254E">
              <w:rPr>
                <w:noProof/>
                <w:sz w:val="24"/>
                <w:szCs w:val="24"/>
              </w:rPr>
              <w:t xml:space="preserve"> (Harmer, Chapter 17)</w:t>
            </w:r>
          </w:p>
          <w:p w:rsidRPr="00FA254E" w:rsidP="004D1122">
            <w:pPr>
              <w:spacing w:before="40" w:after="40"/>
              <w:rPr>
                <w:sz w:val="24"/>
                <w:szCs w:val="24"/>
              </w:rPr>
            </w:pPr>
            <w:r w:rsidRPr="00FA254E">
              <w:rPr>
                <w:noProof/>
                <w:sz w:val="24"/>
                <w:szCs w:val="24"/>
              </w:rPr>
              <w:t>Extensive reading</w:t>
            </w:r>
          </w:p>
          <w:p w:rsidRPr="00FA254E" w:rsidP="004D1122">
            <w:pPr>
              <w:spacing w:before="40" w:after="40"/>
              <w:rPr>
                <w:sz w:val="24"/>
                <w:szCs w:val="24"/>
              </w:rPr>
            </w:pPr>
            <w:r w:rsidRPr="00FA254E">
              <w:rPr>
                <w:noProof/>
                <w:sz w:val="24"/>
                <w:szCs w:val="24"/>
              </w:rPr>
              <w:t>Intensive reading</w:t>
            </w:r>
          </w:p>
          <w:p w:rsidRPr="00FA254E" w:rsidP="004D1122">
            <w:pPr>
              <w:spacing w:before="40" w:after="40"/>
              <w:rPr>
                <w:sz w:val="24"/>
                <w:szCs w:val="24"/>
              </w:rPr>
            </w:pPr>
            <w:r w:rsidRPr="00FA254E">
              <w:rPr>
                <w:noProof/>
                <w:sz w:val="24"/>
                <w:szCs w:val="24"/>
              </w:rPr>
              <w:t>Reading lesson sequences</w:t>
            </w:r>
          </w:p>
          <w:p w:rsidR="002655A9" w:rsidRPr="00FA254E" w:rsidP="004D1122">
            <w:pPr>
              <w:spacing w:before="40" w:after="40"/>
              <w:rPr>
                <w:color w:val="000000"/>
                <w:sz w:val="24"/>
                <w:szCs w:val="24"/>
              </w:rPr>
            </w:pPr>
            <w:r w:rsidRPr="00FA254E">
              <w:rPr>
                <w:noProof/>
                <w:sz w:val="24"/>
                <w:szCs w:val="24"/>
              </w:rPr>
              <w:t>Reading projects: library, poetry/novel reading groups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listening</w:t>
            </w:r>
            <w:r w:rsidRPr="00FA254E">
              <w:rPr>
                <w:noProof/>
                <w:sz w:val="24"/>
                <w:szCs w:val="24"/>
              </w:rPr>
              <w:t xml:space="preserve"> (Harmer, Chapter 18)</w:t>
            </w:r>
          </w:p>
          <w:p w:rsidRPr="00FA254E" w:rsidP="004D1122">
            <w:pPr>
              <w:spacing w:before="40" w:after="40"/>
              <w:rPr>
                <w:sz w:val="24"/>
                <w:szCs w:val="24"/>
              </w:rPr>
            </w:pPr>
            <w:r w:rsidRPr="00FA254E">
              <w:rPr>
                <w:noProof/>
                <w:sz w:val="24"/>
                <w:szCs w:val="24"/>
              </w:rPr>
              <w:t>Extensive listening</w:t>
            </w:r>
          </w:p>
          <w:p w:rsidRPr="00FA254E" w:rsidP="004D1122">
            <w:pPr>
              <w:spacing w:before="40" w:after="40"/>
              <w:rPr>
                <w:sz w:val="24"/>
                <w:szCs w:val="24"/>
              </w:rPr>
            </w:pPr>
            <w:r w:rsidRPr="00FA254E">
              <w:rPr>
                <w:noProof/>
                <w:sz w:val="24"/>
                <w:szCs w:val="24"/>
              </w:rPr>
              <w:t>Intensive listening</w:t>
            </w:r>
          </w:p>
          <w:p w:rsidRPr="00FA254E" w:rsidP="004D1122">
            <w:pPr>
              <w:spacing w:before="40" w:after="40"/>
              <w:rPr>
                <w:sz w:val="24"/>
                <w:szCs w:val="24"/>
              </w:rPr>
            </w:pPr>
            <w:r w:rsidRPr="00FA254E">
              <w:rPr>
                <w:noProof/>
                <w:sz w:val="24"/>
                <w:szCs w:val="24"/>
              </w:rPr>
              <w:t>Listening lesson sequences</w:t>
            </w:r>
          </w:p>
          <w:p w:rsidR="002655A9" w:rsidRPr="00FA254E" w:rsidP="004D1122">
            <w:pPr>
              <w:spacing w:before="40" w:after="40"/>
              <w:rPr>
                <w:color w:val="000000"/>
                <w:sz w:val="24"/>
                <w:szCs w:val="24"/>
              </w:rPr>
            </w:pPr>
            <w:r w:rsidRPr="00FA254E">
              <w:rPr>
                <w:noProof/>
                <w:sz w:val="24"/>
                <w:szCs w:val="24"/>
              </w:rPr>
              <w:t>Listening projects: films and videos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writing</w:t>
            </w:r>
            <w:r w:rsidRPr="00FA254E">
              <w:rPr>
                <w:noProof/>
                <w:sz w:val="24"/>
                <w:szCs w:val="24"/>
              </w:rPr>
              <w:t xml:space="preserve"> (Harmer, Chapter 19)</w:t>
            </w:r>
          </w:p>
          <w:p w:rsidRPr="00FA254E" w:rsidP="004D1122">
            <w:pPr>
              <w:spacing w:before="40" w:after="40"/>
              <w:rPr>
                <w:sz w:val="24"/>
                <w:szCs w:val="24"/>
              </w:rPr>
            </w:pPr>
            <w:r w:rsidRPr="00FA254E">
              <w:rPr>
                <w:noProof/>
                <w:sz w:val="24"/>
                <w:szCs w:val="24"/>
              </w:rPr>
              <w:t>Literacy</w:t>
            </w:r>
          </w:p>
          <w:p w:rsidRPr="00FA254E" w:rsidP="004D1122">
            <w:pPr>
              <w:spacing w:before="40" w:after="40"/>
              <w:rPr>
                <w:sz w:val="24"/>
                <w:szCs w:val="24"/>
              </w:rPr>
            </w:pPr>
            <w:r w:rsidRPr="00FA254E">
              <w:rPr>
                <w:noProof/>
                <w:sz w:val="24"/>
                <w:szCs w:val="24"/>
              </w:rPr>
              <w:t>Approaches to student writing</w:t>
            </w:r>
          </w:p>
          <w:p w:rsidRPr="00FA254E" w:rsidP="004D1122">
            <w:pPr>
              <w:spacing w:before="40" w:after="40"/>
              <w:rPr>
                <w:sz w:val="24"/>
                <w:szCs w:val="24"/>
              </w:rPr>
            </w:pPr>
            <w:r w:rsidRPr="00FA254E">
              <w:rPr>
                <w:noProof/>
                <w:sz w:val="24"/>
                <w:szCs w:val="24"/>
              </w:rPr>
              <w:t>Writing lesson sequences</w:t>
            </w:r>
          </w:p>
          <w:p w:rsidR="002655A9" w:rsidRPr="00FA254E" w:rsidP="004D1122">
            <w:pPr>
              <w:spacing w:before="40" w:after="40"/>
              <w:rPr>
                <w:color w:val="000000"/>
                <w:sz w:val="24"/>
                <w:szCs w:val="24"/>
              </w:rPr>
            </w:pPr>
            <w:r w:rsidRPr="00FA254E">
              <w:rPr>
                <w:noProof/>
                <w:sz w:val="24"/>
                <w:szCs w:val="24"/>
              </w:rPr>
              <w:t>Writing projects: portfolios, journals, letters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speaking</w:t>
            </w:r>
            <w:r w:rsidRPr="00FA254E">
              <w:rPr>
                <w:noProof/>
                <w:sz w:val="24"/>
                <w:szCs w:val="24"/>
              </w:rPr>
              <w:t xml:space="preserve"> (Harmer, Chapter 20)</w:t>
            </w:r>
          </w:p>
          <w:p w:rsidRPr="00FA254E" w:rsidP="004D1122">
            <w:pPr>
              <w:spacing w:before="40" w:after="40"/>
              <w:rPr>
                <w:sz w:val="24"/>
                <w:szCs w:val="24"/>
              </w:rPr>
            </w:pPr>
            <w:r w:rsidRPr="00FA254E">
              <w:rPr>
                <w:noProof/>
                <w:sz w:val="24"/>
                <w:szCs w:val="24"/>
              </w:rPr>
              <w:t>Elements of speaking</w:t>
            </w:r>
          </w:p>
          <w:p w:rsidRPr="00FA254E" w:rsidP="004D1122">
            <w:pPr>
              <w:spacing w:before="40" w:after="40"/>
              <w:rPr>
                <w:sz w:val="24"/>
                <w:szCs w:val="24"/>
              </w:rPr>
            </w:pPr>
            <w:r w:rsidRPr="00FA254E">
              <w:rPr>
                <w:noProof/>
                <w:sz w:val="24"/>
                <w:szCs w:val="24"/>
              </w:rPr>
              <w:t>Classroom speaking activities</w:t>
            </w:r>
          </w:p>
          <w:p w:rsidRPr="00FA254E" w:rsidP="004D1122">
            <w:pPr>
              <w:spacing w:before="40" w:after="40"/>
              <w:rPr>
                <w:sz w:val="24"/>
                <w:szCs w:val="24"/>
              </w:rPr>
            </w:pPr>
            <w:r w:rsidRPr="00FA254E">
              <w:rPr>
                <w:noProof/>
                <w:sz w:val="24"/>
                <w:szCs w:val="24"/>
              </w:rPr>
              <w:t>Speaking lesson sequences</w:t>
            </w:r>
          </w:p>
          <w:p w:rsidR="002655A9" w:rsidRPr="00FA254E" w:rsidP="004D1122">
            <w:pPr>
              <w:spacing w:before="40" w:after="40"/>
              <w:rPr>
                <w:color w:val="000000"/>
                <w:sz w:val="24"/>
                <w:szCs w:val="24"/>
              </w:rPr>
            </w:pPr>
            <w:r w:rsidRPr="00FA254E">
              <w:rPr>
                <w:noProof/>
                <w:sz w:val="24"/>
                <w:szCs w:val="24"/>
              </w:rPr>
              <w:t>Speaking projects: step-in conversation lab</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Evaluation (</w:t>
            </w:r>
            <w:r w:rsidRPr="00FA254E">
              <w:rPr>
                <w:noProof/>
                <w:sz w:val="24"/>
                <w:szCs w:val="24"/>
              </w:rPr>
              <w:t>Harmer, Chapter 22)</w:t>
            </w:r>
          </w:p>
          <w:p w:rsidRPr="00FA254E" w:rsidP="004D1122">
            <w:pPr>
              <w:spacing w:before="40" w:after="40"/>
              <w:rPr>
                <w:sz w:val="24"/>
                <w:szCs w:val="24"/>
              </w:rPr>
            </w:pPr>
            <w:r w:rsidRPr="00FA254E">
              <w:rPr>
                <w:noProof/>
                <w:sz w:val="24"/>
                <w:szCs w:val="24"/>
              </w:rPr>
              <w:t xml:space="preserve">Testing and assessment </w:t>
            </w:r>
          </w:p>
          <w:p w:rsidR="002655A9" w:rsidRPr="00FA254E" w:rsidP="004D1122">
            <w:pPr>
              <w:spacing w:before="40" w:after="40"/>
              <w:rPr>
                <w:color w:val="000000"/>
                <w:sz w:val="24"/>
                <w:szCs w:val="24"/>
              </w:rPr>
            </w:pPr>
            <w:r w:rsidRPr="00FA254E">
              <w:rPr>
                <w:noProof/>
                <w:sz w:val="24"/>
                <w:szCs w:val="24"/>
              </w:rPr>
              <w:t>Types of test item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4, 5, 6, 7</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Dự án</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r>
              <w:rPr>
                <w:noProof/>
                <w:sz w:val="24"/>
                <w:szCs w:val="24"/>
              </w:rPr>
              <w:t xml:space="preserve">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Jeremy Harmer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The Practice</w:t>
            </w:r>
            <w:r w:rsidRPr="00FA254E">
              <w:rPr>
                <w:noProof/>
                <w:sz w:val="24"/>
                <w:szCs w:val="24"/>
              </w:rPr>
              <w:t xml:space="preserve"> of English language Teaching (5th Edition)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 Education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Marianne Celce</w:t>
            </w:r>
            <w:r w:rsidRPr="00FA254E">
              <w:rPr>
                <w:noProof/>
                <w:sz w:val="24"/>
                <w:szCs w:val="24"/>
              </w:rPr>
              <w:t xml:space="preserve"> Murcia et al.</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Teaching English</w:t>
            </w:r>
            <w:r w:rsidRPr="00FA254E">
              <w:rPr>
                <w:noProof/>
                <w:sz w:val="24"/>
                <w:szCs w:val="24"/>
              </w:rPr>
              <w:t xml:space="preserve"> as a second or foreign language (4th edition)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Heilne ELT</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Tủ sách</w:t>
            </w:r>
            <w:r w:rsidRPr="00FA254E">
              <w:rPr>
                <w:noProof/>
                <w:sz w:val="24"/>
                <w:szCs w:val="24"/>
              </w:rPr>
              <w:t xml:space="preserve"> Khoa NN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Thị</w:t>
      </w:r>
      <w:r>
        <w:rPr>
          <w:b/>
          <w:bCs/>
          <w:noProof/>
          <w:sz w:val="24"/>
          <w:szCs w:val="24"/>
        </w:rPr>
        <w:t xml:space="preserve"> Ngân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